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586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4F4A4A"/>
          <w:sz w:val="36"/>
          <w:szCs w:val="36"/>
        </w:rPr>
      </w:pPr>
      <w:r>
        <w:rPr>
          <w:b/>
          <w:bCs/>
          <w:i w:val="0"/>
          <w:iCs w:val="0"/>
          <w:caps w:val="0"/>
          <w:color w:val="4F4A4A"/>
          <w:spacing w:val="0"/>
          <w:sz w:val="36"/>
          <w:szCs w:val="36"/>
          <w:bdr w:val="none" w:color="auto" w:sz="0" w:space="0"/>
          <w:shd w:val="clear" w:fill="FFFFFF"/>
        </w:rPr>
        <w:t>青年马克思主义者培养工程管理办法（试行）</w:t>
      </w:r>
    </w:p>
    <w:p w14:paraId="43C1C6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楷体" w:hAnsi="楷体" w:eastAsia="楷体" w:cs="楷体"/>
          <w:b w:val="0"/>
          <w:bCs w:val="0"/>
          <w:color w:val="707070"/>
          <w:sz w:val="27"/>
          <w:szCs w:val="27"/>
        </w:rPr>
      </w:pPr>
      <w:r>
        <w:rPr>
          <w:rFonts w:hint="eastAsia" w:ascii="楷体" w:hAnsi="楷体" w:eastAsia="楷体" w:cs="楷体"/>
          <w:b w:val="0"/>
          <w:bCs w:val="0"/>
          <w:i w:val="0"/>
          <w:iCs w:val="0"/>
          <w:caps w:val="0"/>
          <w:color w:val="707070"/>
          <w:spacing w:val="0"/>
          <w:sz w:val="27"/>
          <w:szCs w:val="27"/>
          <w:bdr w:val="none" w:color="auto" w:sz="0" w:space="0"/>
          <w:shd w:val="clear" w:fill="FFFFFF"/>
        </w:rPr>
        <w:t>（2022年12月7日共青团中央书记处会议审议批准</w:t>
      </w:r>
      <w:r>
        <w:rPr>
          <w:rFonts w:hint="eastAsia" w:ascii="楷体" w:hAnsi="楷体" w:eastAsia="楷体" w:cs="楷体"/>
          <w:b w:val="0"/>
          <w:bCs w:val="0"/>
          <w:i w:val="0"/>
          <w:iCs w:val="0"/>
          <w:caps w:val="0"/>
          <w:color w:val="707070"/>
          <w:spacing w:val="0"/>
          <w:sz w:val="27"/>
          <w:szCs w:val="27"/>
          <w:bdr w:val="none" w:color="auto" w:sz="0" w:space="0"/>
          <w:shd w:val="clear" w:fill="FFFFFF"/>
        </w:rPr>
        <w:br w:type="textWrapping"/>
      </w:r>
      <w:r>
        <w:rPr>
          <w:rFonts w:hint="eastAsia" w:ascii="楷体" w:hAnsi="楷体" w:eastAsia="楷体" w:cs="楷体"/>
          <w:b w:val="0"/>
          <w:bCs w:val="0"/>
          <w:i w:val="0"/>
          <w:iCs w:val="0"/>
          <w:caps w:val="0"/>
          <w:color w:val="707070"/>
          <w:spacing w:val="0"/>
          <w:sz w:val="27"/>
          <w:szCs w:val="27"/>
          <w:bdr w:val="none" w:color="auto" w:sz="0" w:space="0"/>
          <w:shd w:val="clear" w:fill="FFFFFF"/>
        </w:rPr>
        <w:t>2023年1月31日共青团中央办公厅发布）</w:t>
      </w:r>
    </w:p>
    <w:p w14:paraId="5E0915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ascii="微软雅黑" w:hAnsi="微软雅黑" w:eastAsia="微软雅黑" w:cs="微软雅黑"/>
          <w:i w:val="0"/>
          <w:iCs w:val="0"/>
          <w:caps w:val="0"/>
          <w:color w:val="464545"/>
          <w:spacing w:val="0"/>
          <w:sz w:val="24"/>
          <w:szCs w:val="24"/>
          <w:bdr w:val="none" w:color="auto" w:sz="0" w:space="0"/>
          <w:shd w:val="clear" w:fill="FFFFFF"/>
        </w:rPr>
        <w:t>目</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　录</w:t>
      </w:r>
    </w:p>
    <w:p w14:paraId="7BDC28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p>
    <w:p w14:paraId="349259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"https://www.gqt.org.cn/tngz/bf/bf_znjsgz/202302/t20230213_791002.htm" \l "part_00"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ascii="楷体" w:hAnsi="楷体" w:eastAsia="楷体" w:cs="楷体"/>
          <w:i w:val="0"/>
          <w:iCs w:val="0"/>
          <w:caps w:val="0"/>
          <w:color w:val="000000"/>
          <w:spacing w:val="0"/>
          <w:sz w:val="27"/>
          <w:szCs w:val="27"/>
          <w:u w:val="none"/>
          <w:bdr w:val="none" w:color="auto" w:sz="0" w:space="0"/>
          <w:shd w:val="clear" w:fill="FFFFFF"/>
        </w:rPr>
        <w:t>　　第一章 总则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0CE208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"https://www.gqt.org.cn/tngz/bf/bf_znjsgz/202302/t20230213_791002.htm" \l "part_01"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第二章 管理机制</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525247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"https://www.gqt.org.cn/tngz/bf/bf_znjsgz/202302/t20230213_791002.htm" \l "part_02"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第三章 组织单位管理</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603B4C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"https://www.gqt.org.cn/tngz/bf/bf_znjsgz/202302/t20230213_791002.htm" \l "part_03"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第四章 学员管理</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797BB4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"https://www.gqt.org.cn/tngz/bf/bf_znjsgz/202302/t20230213_791002.htm" \l "part_04"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第五章 导师管理</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650082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"https://www.gqt.org.cn/tngz/bf/bf_znjsgz/202302/t20230213_791002.htm" \l "part_05"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第六章 附则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1E2907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第一章　总则</w:t>
      </w:r>
    </w:p>
    <w:p w14:paraId="542503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为了贯彻落实《关于深入实施青年马克思主义者培养工程的意见》（中青联发〔2020〕5号）（以下简称《意见》）要求，提升青年马克思主义者培养工程制度化规范化水平，制定本办法。</w:t>
      </w:r>
    </w:p>
    <w:p w14:paraId="387462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青年马克思主义者培养工程（以下简称“青马工程”）主要任务是：以习近平新时代中国特色社会主义思想为指导，着眼党的事业薪火相传，着眼为党培养和输送坚定的青年政治骨干，通过规范开展思想淬炼、政治历练、实践锻炼、专业训练，引领“青马工程”学员增进对党的政治认同、思想认同、理论认同、情感认同，深刻领悟“两个确立”的决定性意义，增强“四个意识”，坚定“四个自信”，做到“两个维护”，努力成长为具有坚定的马克思主义信仰、德才兼备、全面发展的社会主义合格建设者和可靠接班人。</w:t>
      </w:r>
    </w:p>
    <w:p w14:paraId="24537C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“青马工程”管理工作应当坚持以下原则：</w:t>
      </w:r>
    </w:p>
    <w:p w14:paraId="41410C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（一）坚持党的领导，坚持“党管青年”、“党管人才”原则，把党的全面领导贯穿到“青马工程”实施的各领域和全过程，确保正确政治方向；</w:t>
      </w:r>
    </w:p>
    <w:p w14:paraId="6F24E8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（二）坚持完善体系，突出政治要求，遵循育人规律，完善规范各培养板块的目标任务和路径载体，逐步建立标准统一、科学有效的培养体系；</w:t>
      </w:r>
    </w:p>
    <w:p w14:paraId="3D142E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（三）坚持分级负责，各级“青马工程”组织单位必须压实管理责任，确保培养过程严格规范；</w:t>
      </w:r>
    </w:p>
    <w:p w14:paraId="13D72A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（四）坚持从严管理，建立健全从严管理机制，严格按照各环节培养标准从严实施，切实提升培养质量。</w:t>
      </w:r>
    </w:p>
    <w:p w14:paraId="3DCA53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本办法适用于各级“青马工程”组织单位，以及各级“青马工程”学员和导师。</w:t>
      </w:r>
    </w:p>
    <w:p w14:paraId="56DB57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第二章　管理机制</w:t>
      </w:r>
    </w:p>
    <w:p w14:paraId="05300B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“青马工程”在全国、省（自治区、直辖市）、市（地、州、盟）、县（市、区、旗）分级开展。实施领域包括高校班、国企班、农村班、社会组织班、少先队工作者班以及相关的专项计划。</w:t>
      </w:r>
    </w:p>
    <w:p w14:paraId="7C30AE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全国和省级“青马工程”应开设高校班、国企班、农村班、社会组织班和少先队工作者班等全部领域的班次；市级和县级可以结合实际情况，开设综合班或者相关领域的班次。高校应当在学校本级开设班次，具备条件的中央企业应当在集团及其符合条件的二级单位开设班次。有基础和条件的地区，可以结合实际探索开设面向非公企业以及其他领域优秀青年骨干的相应班次。</w:t>
      </w:r>
    </w:p>
    <w:p w14:paraId="6D0ACB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共青团中央组织部根据需要设立“青马工程”培养专项计划，相关工作参照本办法执行。</w:t>
      </w:r>
    </w:p>
    <w:p w14:paraId="1FB414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在共青团中央书记处的领导下，共青团中央组织部联合相关单位对全国各级“青马工程”进行统筹协调和综合管理，并具体负责“青马工程”全国班的组织实施工作。</w:t>
      </w:r>
    </w:p>
    <w:p w14:paraId="7ACB28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各级“青马工程”由各级团的领导机关联合相关单位共同实施。各级团组织具体负责，履行整体规划、学员培养、考核评价、人才举荐、督促检查等职能。</w:t>
      </w:r>
    </w:p>
    <w:p w14:paraId="2E1E7A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各级团的领导机关应当加强对“青马工程”的组织领导和检查评估，应当将“青马工程”的开展情况纳入年度工作考核。</w:t>
      </w:r>
    </w:p>
    <w:p w14:paraId="218E99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第三章　组织单位管理</w:t>
      </w:r>
    </w:p>
    <w:p w14:paraId="3AF883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青马工程”组织单位应当严格落实《意见》所规定的培养要求，压实管理责任，健全责任体系，严格管理要求，提升“青马工程”管理质量和水平。要建立风险防范和报告制度，对在本级实施过程中产生的政治安全、社会舆情、人身安全等各类风险，应当第一时间向本级党委和上级团组织报告，并按照要求做好风险处置。</w:t>
      </w:r>
    </w:p>
    <w:p w14:paraId="395725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青马工程”组织单位应当持续完善学员选拔、培养内容、跟踪培养等工作机制。在学员选拔方面，保证选拔公信力和透明度，结合本级工作实际情况按照固定程序机制推荐人选；在培养内容方面，严格按照《意见》中的相关培养内容，充分利用本级优势资源确定培养课程；在跟踪培养方面，持续关注学员思想动态与个人成长，建立并实时更新学员信息数据库，在培养期间及集中培养周期结束后，与学员保持常态化联系。</w:t>
      </w:r>
    </w:p>
    <w:p w14:paraId="6077FD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按照“谁主管，谁主办，谁负责”的原则，对于不符合“青马工程”培养要求的，各级团组织应当及时予以告知、提醒和督促整改；对随意变更培养周期、删减培养环节、泛化培养对象、滥用“青马工程”品牌等情况应当及时予以纠正并督促整改；对持续整改不合格的组织单位，应当通报并暂停其“青马工程”招生、培养等工作，暂停期不少于一年。</w:t>
      </w:r>
    </w:p>
    <w:p w14:paraId="1BC95C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各级团组织自行设立的，且未按照《意见》相关规定实施的培养项目，不得使用“青年马克思主义者培养工程”、“青马工程”、“青马”等字样及相关标识。</w:t>
      </w:r>
    </w:p>
    <w:p w14:paraId="69A589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第四章　学员管理</w:t>
      </w:r>
    </w:p>
    <w:p w14:paraId="42B3F5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各级“青马工程”组织单位应当严格落实《意见》中关于“规范学员选拔标准和程序”的要求，按照组织推荐与差额选拔的方式，从严择优选拔学员。</w:t>
      </w:r>
    </w:p>
    <w:p w14:paraId="245FAF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对在培养过程中出现以下行为的学员，应予以淘汰，并通报其推荐单位：</w:t>
      </w:r>
    </w:p>
    <w:p w14:paraId="6EA405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（一）不遵守党的政治纪律和政治规矩，违反党的路线方针政策的；</w:t>
      </w:r>
    </w:p>
    <w:p w14:paraId="7D07E9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（二）违反国家法律法规，违反党章党规党纪，违反所在单位纪律规定的；</w:t>
      </w:r>
    </w:p>
    <w:p w14:paraId="786C01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（三）利用信息网络造谣传谣、污蔑诽谤或者实施网络暴力，造成不良影响的；</w:t>
      </w:r>
    </w:p>
    <w:p w14:paraId="003FBA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（四）违背社会公序良俗，违反社会公德、职业道德、家庭美德，有不当言行造成不良影响的；</w:t>
      </w:r>
    </w:p>
    <w:p w14:paraId="7241A6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（五）面对党团组织分配的重大攻坚任务，表现消极、畏惧退缩、临阵脱逃、没有发挥先锋模范作用的；</w:t>
      </w:r>
    </w:p>
    <w:p w14:paraId="7A1167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（六）在工作、学习、生活等方面自我要求不严，造成不良社会影响或者群众反映强烈的；</w:t>
      </w:r>
    </w:p>
    <w:p w14:paraId="04D838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（七）不遵守培训纪律的；</w:t>
      </w:r>
    </w:p>
    <w:p w14:paraId="5498D4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（八）未达到培养考核标准的。</w:t>
      </w:r>
    </w:p>
    <w:p w14:paraId="3A5DB8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对培养期结束后出现第十四条第一项至第六项行为的学员，各级“青马工程”组织单位应及时取消对其“青马工程”学员身份的认定。</w:t>
      </w:r>
    </w:p>
    <w:p w14:paraId="64DFDC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学员不得擅自以“青马工程”学员身份参加“青马工程”培养内容以外的社会活动。违反本条规定的，各级“青马工程”组织单位应当予以批评教育，责令改正；情节严重，产生不良影响的，及时予以淘汰或者取消对其“青马工程”学员身份的认定。</w:t>
      </w:r>
    </w:p>
    <w:p w14:paraId="64C69F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第五章　导师管理</w:t>
      </w:r>
    </w:p>
    <w:p w14:paraId="239BF9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“青马工程”导师应当具备以下基本条件：</w:t>
      </w:r>
    </w:p>
    <w:p w14:paraId="471621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（一）坚决拥护中国共产党的领导，热爱中华人民共和国，对习近平新时代中国特色社会主义思想有强烈的政治认同、思想认同、理论认同、情感认同；</w:t>
      </w:r>
    </w:p>
    <w:p w14:paraId="0692EF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（二）政治面貌为中共党员；</w:t>
      </w:r>
    </w:p>
    <w:p w14:paraId="614077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（三）具备良好的教学能力和职业道德，能够较好结合“青马工程”培养方案进行授课；</w:t>
      </w:r>
    </w:p>
    <w:p w14:paraId="0D7025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（四）能够认真履行“青马工程”导师工作职责。</w:t>
      </w:r>
    </w:p>
    <w:p w14:paraId="4DE539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青马工程”组织单位负责本级“青马工程”导师的聘用工作。聘用期为1年，聘用前应当征得拟聘用导师所在单位书面同意。聘用期满，各级“青马工程”组织单位结合导师教学表现、学生评价、所在单位意见、履职情况等综合决定是否继续聘用。</w:t>
      </w:r>
    </w:p>
    <w:p w14:paraId="398DC1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每名“青马工程”导师在聘用期内应当至少指导1名“青马工程”学员，指导学员数量原则上不超过5名。</w:t>
      </w:r>
    </w:p>
    <w:p w14:paraId="09B006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青马工程”导师在聘用期内及结束聘用期后，不得以“青马工程”导师身份从事、参加与“青马工程”无关的工作或者社会活动。各级“青马工程”组织单位应当落实监督责任，对违反本条且在聘用期内的导师，应当立即终止其“青马工程”导师资格。</w:t>
      </w:r>
    </w:p>
    <w:p w14:paraId="1AD200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“青马工程”导师在聘用期内有违反法律法规、受到党纪政务处分、因不当言论和行为产生不良影响等情况的，聘用单位应当立即终止其“青马工程”导师资格。</w:t>
      </w:r>
    </w:p>
    <w:p w14:paraId="301B01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第六章　附则</w:t>
      </w:r>
    </w:p>
    <w:p w14:paraId="234E10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“青马工程”统一使用带有“火炬”与“青马工程”字样的标准图样作为标识（参见附件），标识可规范使用在活动现场、学员着装、外宣文创等方面。</w:t>
      </w:r>
    </w:p>
    <w:p w14:paraId="7B57DA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未规范使用名称、简称或者标识的活动及相关工作均不被认证。</w:t>
      </w:r>
    </w:p>
    <w:p w14:paraId="0EB592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本办法由共青团中央组织部负责解释。</w:t>
      </w:r>
    </w:p>
    <w:p w14:paraId="0AD193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本办法自印发之日起实施。</w:t>
      </w:r>
    </w:p>
    <w:p w14:paraId="76926F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附件：青年马克思主义者培养工程标识</w:t>
      </w:r>
    </w:p>
    <w:p w14:paraId="67D552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p>
    <w:p w14:paraId="47243A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15"/>
          <w:szCs w:val="15"/>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附件</w:t>
      </w:r>
    </w:p>
    <w:p w14:paraId="3AE219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青年马克思主义者培养工程标识</w:t>
      </w:r>
    </w:p>
    <w:p w14:paraId="4A5242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drawing>
          <wp:inline distT="0" distB="0" distL="114300" distR="114300">
            <wp:extent cx="3810000" cy="53244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810000" cy="5324475"/>
                    </a:xfrm>
                    <a:prstGeom prst="rect">
                      <a:avLst/>
                    </a:prstGeom>
                    <a:noFill/>
                    <a:ln w="9525">
                      <a:noFill/>
                    </a:ln>
                  </pic:spPr>
                </pic:pic>
              </a:graphicData>
            </a:graphic>
          </wp:inline>
        </w:drawing>
      </w:r>
    </w:p>
    <w:p w14:paraId="500B37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一、标识含义</w:t>
      </w:r>
    </w:p>
    <w:p w14:paraId="1F1C48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标识的主元素为党旗和团旗。党旗所指就是团旗所向，象征着在党的领导下，共青团的品牌工作“青马工程”高举中国特色社会主义伟大旗帜，以习近平新时代中国特色社会主义思想为指导，不断加强对青年的政治引领，切实为党培养和输送一批具有忠诚的政治品格，浓厚的家国情怀，扎实的理论功底，突出的能力素质，忠恕任事、人品服众的青年政治骨干。</w:t>
      </w:r>
    </w:p>
    <w:p w14:paraId="7D0D84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“青马工程”标识可以广泛用于各领域“青马工程”活动环境布置和相关用品制作。</w:t>
      </w:r>
    </w:p>
    <w:p w14:paraId="6514BE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二、使用范围</w:t>
      </w:r>
    </w:p>
    <w:p w14:paraId="23283B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（一）用于“青马工程”及其相关活动；</w:t>
      </w:r>
    </w:p>
    <w:p w14:paraId="6678CB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（二）用于“青马工程”活动环境布置和证件、须知等用品的制作；</w:t>
      </w:r>
    </w:p>
    <w:p w14:paraId="349F74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（三）用于“青马工程”相关培养学习活动的背景板、标牌、旗帜、手提袋、文化衫等的制作；</w:t>
      </w:r>
    </w:p>
    <w:p w14:paraId="6B1A01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（四）用于新闻报道专题专栏、专题网页和宣传品、宣传折页、宣传标语、公益广告、招贴画等非商业用途宣传品的制作；</w:t>
      </w:r>
    </w:p>
    <w:p w14:paraId="645D62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（五）用于制作“青马工程”即时贴、胸牌、臂章等，供学员佩戴使用。</w:t>
      </w:r>
    </w:p>
    <w:p w14:paraId="27323B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三、比例尺寸</w:t>
      </w:r>
    </w:p>
    <w:p w14:paraId="582A52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标识由红黄相交的正五角星图案和“青马工程”四个红字组成，标识宽高比例统一为3：4。</w:t>
      </w:r>
    </w:p>
    <w:p w14:paraId="0C0EA9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drawing>
          <wp:inline distT="0" distB="0" distL="114300" distR="114300">
            <wp:extent cx="3248025" cy="4391025"/>
            <wp:effectExtent l="0" t="0" r="9525" b="952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3248025" cy="4391025"/>
                    </a:xfrm>
                    <a:prstGeom prst="rect">
                      <a:avLst/>
                    </a:prstGeom>
                    <a:noFill/>
                    <a:ln w="9525">
                      <a:noFill/>
                    </a:ln>
                  </pic:spPr>
                </pic:pic>
              </a:graphicData>
            </a:graphic>
          </wp:inline>
        </w:drawing>
      </w:r>
    </w:p>
    <w:p w14:paraId="01AC59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青年马克思主义者培养工程标识等比例坐标图</w:t>
      </w:r>
    </w:p>
    <w:p w14:paraId="1A1686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标识标准版色度值：</w:t>
      </w:r>
    </w:p>
    <w:p w14:paraId="1FB16C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红色　R＝231　　G＝0　　B＝18　</w:t>
      </w:r>
    </w:p>
    <w:p w14:paraId="5DCACF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黄色　R＝254　　G＝225　B＝1</w:t>
      </w:r>
    </w:p>
    <w:p w14:paraId="6183ED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四、使用要求</w:t>
      </w:r>
    </w:p>
    <w:p w14:paraId="6AC59E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（一）“青马工程”标识使用应当严肃、庄重，不得添加任何文字、符号和图案，不得任意修改、变形或者变色。标识中的“火炬”与“青马工程”字样应当同时出现，不能因放大或者缩小破坏标识的完整性；</w:t>
      </w:r>
    </w:p>
    <w:p w14:paraId="3A9FBD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（二）“青马工程”标识不得用于商业广告、制作商标或者其他任何商业性用途，不得用于私人活动；</w:t>
      </w:r>
    </w:p>
    <w:p w14:paraId="24CABE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（三）以“青马工程”标识为元素制作的用品，要与青年马克思主义者培养工程主题密切相关，不得乱用、滥用；</w:t>
      </w:r>
    </w:p>
    <w:p w14:paraId="7DF826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（四）“青马工程”标识所有权属于共青团中央组织部。</w:t>
      </w:r>
    </w:p>
    <w:p w14:paraId="57A91E8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ZjRhY2NkODQzZTEzMTA4MDE4ZjEzYTFkNGJmMmUifQ=="/>
  </w:docVars>
  <w:rsids>
    <w:rsidRoot w:val="00000000"/>
    <w:rsid w:val="1D371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2024-09-19T01:32:58Z</dcterms:created>
  <dc:creator>AOC</dc:creator>
  <cp:lastModifiedBy>AOC</cp:lastModifiedBy>
  <dcterms:modified xsi:type="dcterms:W3CDTF">2024-09-19T01:33:12Z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29F89D7229B947C5B2FA47BBD79F2D42_12</vt:lpwstr>
  </property>
</Properties>
</file>